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6589E" w14:textId="77777777" w:rsidR="00CC4149" w:rsidRPr="00CC4149" w:rsidRDefault="00CC4149" w:rsidP="00CC4149">
      <w:pPr>
        <w:jc w:val="center"/>
        <w:rPr>
          <w:b/>
          <w:bCs/>
          <w:i/>
          <w:iCs/>
          <w:sz w:val="36"/>
          <w:szCs w:val="36"/>
          <w:u w:val="single"/>
        </w:rPr>
      </w:pPr>
      <w:r w:rsidRPr="00CC4149">
        <w:rPr>
          <w:b/>
          <w:bCs/>
          <w:i/>
          <w:iCs/>
          <w:sz w:val="36"/>
          <w:szCs w:val="36"/>
          <w:u w:val="single"/>
        </w:rPr>
        <w:t>Syllabus</w:t>
      </w:r>
    </w:p>
    <w:p w14:paraId="16924818" w14:textId="77777777" w:rsidR="00CC4149" w:rsidRPr="00CC4149" w:rsidRDefault="00CC4149" w:rsidP="00CC4149">
      <w:pPr>
        <w:jc w:val="center"/>
        <w:rPr>
          <w:b/>
          <w:bCs/>
          <w:i/>
          <w:iCs/>
          <w:sz w:val="36"/>
          <w:szCs w:val="36"/>
          <w:u w:val="single"/>
        </w:rPr>
      </w:pPr>
      <w:proofErr w:type="spellStart"/>
      <w:r w:rsidRPr="00CC4149">
        <w:rPr>
          <w:b/>
          <w:bCs/>
          <w:i/>
          <w:iCs/>
          <w:sz w:val="36"/>
          <w:szCs w:val="36"/>
          <w:u w:val="single"/>
        </w:rPr>
        <w:t>Geog</w:t>
      </w:r>
      <w:proofErr w:type="spellEnd"/>
      <w:r w:rsidRPr="00CC4149">
        <w:rPr>
          <w:b/>
          <w:bCs/>
          <w:i/>
          <w:iCs/>
          <w:sz w:val="36"/>
          <w:szCs w:val="36"/>
          <w:u w:val="single"/>
        </w:rPr>
        <w:t xml:space="preserve"> 301:  Introduction to GIS and Maps</w:t>
      </w:r>
    </w:p>
    <w:p w14:paraId="04E47805" w14:textId="77777777" w:rsidR="00CC4149" w:rsidRDefault="00CC4149" w:rsidP="00CC4149"/>
    <w:p w14:paraId="4BDD0D3D" w14:textId="77777777" w:rsidR="00CC4149" w:rsidRDefault="00CC4149" w:rsidP="00CC4149">
      <w:r w:rsidRPr="00CC4149">
        <w:rPr>
          <w:b/>
          <w:bCs/>
          <w:u w:val="single"/>
        </w:rPr>
        <w:t>Syllabus</w:t>
      </w:r>
      <w:r>
        <w:t>:  Introduction to Geographic Information Systems (GIS) with an emphasis on cartographic communication, map use in a digital environment, and the basics of ESRI GIS software. Credits: 4</w:t>
      </w:r>
    </w:p>
    <w:p w14:paraId="7A51CA8D" w14:textId="77777777" w:rsidR="00CC4149" w:rsidRDefault="00CC4149" w:rsidP="00CC4149">
      <w:pPr>
        <w:rPr>
          <w:b/>
          <w:bCs/>
          <w:u w:val="single"/>
        </w:rPr>
      </w:pPr>
    </w:p>
    <w:p w14:paraId="2ED48AEB" w14:textId="77777777" w:rsidR="00CC4149" w:rsidRPr="00CC4149" w:rsidRDefault="00CC4149" w:rsidP="00CC4149">
      <w:pPr>
        <w:rPr>
          <w:b/>
          <w:bCs/>
          <w:u w:val="single"/>
        </w:rPr>
      </w:pPr>
      <w:r w:rsidRPr="00CC4149">
        <w:rPr>
          <w:b/>
          <w:bCs/>
          <w:u w:val="single"/>
        </w:rPr>
        <w:t>Objectives</w:t>
      </w:r>
    </w:p>
    <w:p w14:paraId="2AE2316A" w14:textId="77777777" w:rsidR="00CC4149" w:rsidRDefault="00CC4149" w:rsidP="00CC4149">
      <w:pPr>
        <w:pStyle w:val="ListParagraph"/>
        <w:numPr>
          <w:ilvl w:val="0"/>
          <w:numId w:val="1"/>
        </w:numPr>
      </w:pPr>
      <w:r>
        <w:t>Develop map reading and interpretation skills</w:t>
      </w:r>
    </w:p>
    <w:p w14:paraId="428E7365" w14:textId="77777777" w:rsidR="00CC4149" w:rsidRDefault="00CC4149" w:rsidP="00CC4149">
      <w:pPr>
        <w:pStyle w:val="ListParagraph"/>
        <w:numPr>
          <w:ilvl w:val="0"/>
          <w:numId w:val="1"/>
        </w:numPr>
      </w:pPr>
      <w:r>
        <w:t>Understand basic cartographic concepts</w:t>
      </w:r>
    </w:p>
    <w:p w14:paraId="6DEDB2E5" w14:textId="3E024327" w:rsidR="00CC4149" w:rsidRDefault="00CC4149" w:rsidP="00CC4149">
      <w:pPr>
        <w:pStyle w:val="ListParagraph"/>
        <w:numPr>
          <w:ilvl w:val="0"/>
          <w:numId w:val="1"/>
        </w:numPr>
      </w:pPr>
      <w:r>
        <w:t>Learn some basics of</w:t>
      </w:r>
      <w:r w:rsidR="003604B1">
        <w:t xml:space="preserve"> Arc</w:t>
      </w:r>
      <w:r>
        <w:t>GIS</w:t>
      </w:r>
      <w:r w:rsidR="003604B1">
        <w:t xml:space="preserve"> Pro</w:t>
      </w:r>
      <w:r>
        <w:t xml:space="preserve"> and Google Earth</w:t>
      </w:r>
    </w:p>
    <w:p w14:paraId="52F4E6CA" w14:textId="77777777" w:rsidR="00CC4149" w:rsidRDefault="00CC4149" w:rsidP="00CC4149"/>
    <w:p w14:paraId="1846A6EE" w14:textId="77777777" w:rsidR="00CC4149" w:rsidRDefault="00CC4149" w:rsidP="00CC4149">
      <w:r w:rsidRPr="00CC4149">
        <w:rPr>
          <w:b/>
          <w:bCs/>
          <w:u w:val="single"/>
        </w:rPr>
        <w:t>Professor</w:t>
      </w:r>
      <w:r>
        <w:t>:</w:t>
      </w:r>
    </w:p>
    <w:p w14:paraId="697EC03D" w14:textId="77777777" w:rsidR="00CC4149" w:rsidRDefault="00CC4149" w:rsidP="00CC4149">
      <w:pPr>
        <w:spacing w:line="240" w:lineRule="auto"/>
        <w:ind w:left="720"/>
        <w:contextualSpacing/>
      </w:pPr>
      <w:r>
        <w:t xml:space="preserve">Dr. Bob Hickey </w:t>
      </w:r>
    </w:p>
    <w:p w14:paraId="3EA1E4D0" w14:textId="77777777" w:rsidR="00CC4149" w:rsidRDefault="00CC4149" w:rsidP="00CC4149">
      <w:pPr>
        <w:spacing w:line="240" w:lineRule="auto"/>
        <w:ind w:left="720"/>
        <w:contextualSpacing/>
      </w:pPr>
      <w:r>
        <w:t>234 Dean Hall</w:t>
      </w:r>
    </w:p>
    <w:p w14:paraId="63D3D4AE" w14:textId="77777777" w:rsidR="00CC4149" w:rsidRDefault="00CC4149" w:rsidP="00CC4149">
      <w:pPr>
        <w:spacing w:line="240" w:lineRule="auto"/>
        <w:ind w:left="720"/>
        <w:contextualSpacing/>
      </w:pPr>
      <w:r>
        <w:t xml:space="preserve">Phone: 963-2178 </w:t>
      </w:r>
    </w:p>
    <w:p w14:paraId="5092FE3D" w14:textId="77777777" w:rsidR="00CC4149" w:rsidRDefault="00CC4149" w:rsidP="00CC4149">
      <w:pPr>
        <w:spacing w:line="240" w:lineRule="auto"/>
        <w:ind w:left="720"/>
        <w:contextualSpacing/>
      </w:pPr>
      <w:r>
        <w:t>e-mail: rhickey@cwu.edu</w:t>
      </w:r>
    </w:p>
    <w:p w14:paraId="32303AA2" w14:textId="1E51FD74" w:rsidR="00CC4149" w:rsidRDefault="00CC4149" w:rsidP="00CC4149">
      <w:pPr>
        <w:spacing w:line="240" w:lineRule="auto"/>
        <w:ind w:left="720"/>
        <w:contextualSpacing/>
      </w:pPr>
      <w:r>
        <w:t>Home Page: http://www.onlinegeographer.com (note, all class material here. Canvas will be used only for occasional announcements</w:t>
      </w:r>
      <w:r w:rsidR="00496FB0">
        <w:t xml:space="preserve"> and posting grades</w:t>
      </w:r>
      <w:r>
        <w:t>.</w:t>
      </w:r>
    </w:p>
    <w:p w14:paraId="7F4635D6" w14:textId="77777777" w:rsidR="00CC4149" w:rsidRDefault="00CC4149" w:rsidP="00CC4149"/>
    <w:p w14:paraId="438C3C8B" w14:textId="77777777" w:rsidR="00CC4149" w:rsidRPr="00CC4149" w:rsidRDefault="00CC4149" w:rsidP="00CC4149">
      <w:pPr>
        <w:rPr>
          <w:b/>
          <w:bCs/>
          <w:u w:val="single"/>
        </w:rPr>
      </w:pPr>
      <w:r w:rsidRPr="00CC4149">
        <w:rPr>
          <w:b/>
          <w:bCs/>
          <w:u w:val="single"/>
        </w:rPr>
        <w:t>Lecture/Lab Program</w:t>
      </w:r>
    </w:p>
    <w:p w14:paraId="75FB6640" w14:textId="36E8FEEF" w:rsidR="00CC4149" w:rsidRDefault="005B298E" w:rsidP="00CC4149">
      <w:pPr>
        <w:ind w:firstLine="720"/>
      </w:pPr>
      <w:r>
        <w:t>Monday/Wednesday 9:00-10:50</w:t>
      </w:r>
      <w:r w:rsidR="00CC4149">
        <w:t>: Dean Hall 201 or 206.</w:t>
      </w:r>
    </w:p>
    <w:p w14:paraId="488EA993" w14:textId="77777777" w:rsidR="00CC4149" w:rsidRDefault="00CC4149" w:rsidP="00CC4149"/>
    <w:p w14:paraId="240C3DDA" w14:textId="77777777" w:rsidR="00CC4149" w:rsidRDefault="00CC4149" w:rsidP="00CC4149">
      <w:r w:rsidRPr="00CC4149">
        <w:rPr>
          <w:b/>
          <w:bCs/>
          <w:u w:val="single"/>
        </w:rPr>
        <w:t>Office Hours:</w:t>
      </w:r>
      <w:r>
        <w:t xml:space="preserve"> </w:t>
      </w:r>
    </w:p>
    <w:p w14:paraId="04AD98AF" w14:textId="0002479C" w:rsidR="00CC4149" w:rsidRDefault="005B298E" w:rsidP="00CC4149">
      <w:pPr>
        <w:ind w:firstLine="720"/>
      </w:pPr>
      <w:r>
        <w:t>Tuesday</w:t>
      </w:r>
      <w:r w:rsidR="00CC4149">
        <w:t xml:space="preserve"> </w:t>
      </w:r>
      <w:r w:rsidR="00FD5B53">
        <w:t>9:00-11:00</w:t>
      </w:r>
      <w:r w:rsidR="00CC4149">
        <w:t xml:space="preserve"> or by appointment.  Or just drop by.</w:t>
      </w:r>
      <w:r w:rsidR="00294EB6">
        <w:t xml:space="preserve">  Seriously, if you can’t get ahold of me, shoot me an email and we’ll schedule something.</w:t>
      </w:r>
    </w:p>
    <w:p w14:paraId="101E0B5A" w14:textId="77777777" w:rsidR="008866F5" w:rsidRDefault="008866F5" w:rsidP="008866F5"/>
    <w:p w14:paraId="6E0CB144" w14:textId="77777777" w:rsidR="008866F5" w:rsidRPr="008866F5" w:rsidRDefault="008866F5" w:rsidP="008866F5">
      <w:pPr>
        <w:rPr>
          <w:b/>
          <w:bCs/>
          <w:u w:val="single"/>
        </w:rPr>
      </w:pPr>
      <w:r w:rsidRPr="008866F5">
        <w:rPr>
          <w:b/>
          <w:bCs/>
          <w:u w:val="single"/>
        </w:rPr>
        <w:t>Lab TA:</w:t>
      </w:r>
    </w:p>
    <w:p w14:paraId="6200DC9B" w14:textId="47D8F6F1" w:rsidR="008866F5" w:rsidRDefault="008866F5" w:rsidP="008866F5">
      <w:pPr>
        <w:ind w:firstLine="720"/>
      </w:pPr>
      <w:r>
        <w:t xml:space="preserve">There is a part-time lab TA in 206 Dean who can assist you with GIS questions. </w:t>
      </w:r>
      <w:r w:rsidR="00FD5B53">
        <w:t>Office hours will be posted on the TA door.</w:t>
      </w:r>
    </w:p>
    <w:p w14:paraId="7D01F419" w14:textId="77777777" w:rsidR="00CC4149" w:rsidRPr="00CC4149" w:rsidRDefault="00CC4149" w:rsidP="00CC4149">
      <w:pPr>
        <w:rPr>
          <w:b/>
          <w:bCs/>
          <w:u w:val="single"/>
        </w:rPr>
      </w:pPr>
      <w:r w:rsidRPr="00CC4149">
        <w:rPr>
          <w:b/>
          <w:bCs/>
          <w:u w:val="single"/>
        </w:rPr>
        <w:t xml:space="preserve">Text </w:t>
      </w:r>
    </w:p>
    <w:p w14:paraId="4EFE5FFD" w14:textId="77777777" w:rsidR="00CC4149" w:rsidRDefault="00CC4149" w:rsidP="00CC4149">
      <w:pPr>
        <w:pStyle w:val="ListParagraph"/>
        <w:numPr>
          <w:ilvl w:val="0"/>
          <w:numId w:val="2"/>
        </w:numPr>
      </w:pPr>
      <w:r>
        <w:t xml:space="preserve">How to Lie </w:t>
      </w:r>
      <w:proofErr w:type="gramStart"/>
      <w:r>
        <w:t>With</w:t>
      </w:r>
      <w:proofErr w:type="gramEnd"/>
      <w:r>
        <w:t xml:space="preserve"> Maps. by Mark </w:t>
      </w:r>
      <w:proofErr w:type="spellStart"/>
      <w:r>
        <w:t>Monmonier</w:t>
      </w:r>
      <w:proofErr w:type="spellEnd"/>
      <w:r>
        <w:t>. Required. 3rd edition</w:t>
      </w:r>
    </w:p>
    <w:p w14:paraId="0FB53EF6" w14:textId="094875CE" w:rsidR="00CC4149" w:rsidRDefault="00CC4149" w:rsidP="00CC4149">
      <w:pPr>
        <w:pStyle w:val="ListParagraph"/>
        <w:numPr>
          <w:ilvl w:val="0"/>
          <w:numId w:val="2"/>
        </w:numPr>
      </w:pPr>
      <w:r>
        <w:t>Online (or digital) reading every week.</w:t>
      </w:r>
    </w:p>
    <w:p w14:paraId="3BDC28BE" w14:textId="4EB61F92" w:rsidR="00F07166" w:rsidRDefault="00F07166" w:rsidP="00CC4149">
      <w:pPr>
        <w:pStyle w:val="ListParagraph"/>
        <w:numPr>
          <w:ilvl w:val="0"/>
          <w:numId w:val="2"/>
        </w:numPr>
      </w:pPr>
      <w:r>
        <w:t>We will be using ArcGIS Pro software for this class.  It is possible to run it on your home computer – if you have, effectively, a windows gaming system.  If you have such a beast and want it at home, talk to me about getting the software BEFORE trying to download and run something.  Remember, at home, you won’t have access to me, the lab TA, or other students to receive help (or give</w:t>
      </w:r>
      <w:r w:rsidR="005B298E">
        <w:t xml:space="preserve">, </w:t>
      </w:r>
      <w:r>
        <w:t>if you have a clue).</w:t>
      </w:r>
    </w:p>
    <w:p w14:paraId="373D12DF" w14:textId="77777777" w:rsidR="00CC4149" w:rsidRDefault="00CC4149" w:rsidP="00CC4149"/>
    <w:p w14:paraId="3D09D4FF" w14:textId="77777777" w:rsidR="00CC4149" w:rsidRPr="00CC4149" w:rsidRDefault="00CC4149" w:rsidP="00CC4149">
      <w:pPr>
        <w:rPr>
          <w:b/>
          <w:bCs/>
          <w:u w:val="single"/>
        </w:rPr>
      </w:pPr>
      <w:r w:rsidRPr="00CC4149">
        <w:rPr>
          <w:b/>
          <w:bCs/>
          <w:u w:val="single"/>
        </w:rPr>
        <w:t>Requirements</w:t>
      </w:r>
    </w:p>
    <w:p w14:paraId="3D3D0843" w14:textId="77777777" w:rsidR="00CC4149" w:rsidRDefault="00CC4149" w:rsidP="00CC4149">
      <w:r>
        <w:t xml:space="preserve">The following requirements are compulsory. Failure to comply with these instructions will result in the student failing the class. </w:t>
      </w:r>
    </w:p>
    <w:p w14:paraId="7518467B" w14:textId="11445EF2" w:rsidR="00CC4149" w:rsidRDefault="00CC4149" w:rsidP="00CC4149">
      <w:r>
        <w:t xml:space="preserve">Assignments, labs, and reading writeups must be submitted by the DUE DATE to qualify for full credit unless PRIOR arrangements have been made with the professor. Late assignments will be </w:t>
      </w:r>
      <w:r w:rsidR="005B298E">
        <w:t>penalized</w:t>
      </w:r>
      <w:r>
        <w:t xml:space="preserve"> by reducing the marks achieved by 25 percent (or .5 point, whichever is larger) for each day or part of day that the work is late. </w:t>
      </w:r>
    </w:p>
    <w:tbl>
      <w:tblPr>
        <w:tblStyle w:val="TableGrid"/>
        <w:tblW w:w="0" w:type="auto"/>
        <w:tblLook w:val="04A0" w:firstRow="1" w:lastRow="0" w:firstColumn="1" w:lastColumn="0" w:noHBand="0" w:noVBand="1"/>
      </w:tblPr>
      <w:tblGrid>
        <w:gridCol w:w="2245"/>
        <w:gridCol w:w="1890"/>
        <w:gridCol w:w="6655"/>
      </w:tblGrid>
      <w:tr w:rsidR="00CC4149" w:rsidRPr="00CC4149" w14:paraId="3895B727" w14:textId="77777777" w:rsidTr="00CC4149">
        <w:tc>
          <w:tcPr>
            <w:tcW w:w="2245" w:type="dxa"/>
          </w:tcPr>
          <w:p w14:paraId="3645FB3B" w14:textId="77777777" w:rsidR="00CC4149" w:rsidRPr="00CC4149" w:rsidRDefault="00CC4149" w:rsidP="00CC4149">
            <w:pPr>
              <w:jc w:val="center"/>
              <w:rPr>
                <w:b/>
                <w:bCs/>
              </w:rPr>
            </w:pPr>
            <w:r w:rsidRPr="00CC4149">
              <w:rPr>
                <w:b/>
                <w:bCs/>
              </w:rPr>
              <w:t>Type</w:t>
            </w:r>
          </w:p>
        </w:tc>
        <w:tc>
          <w:tcPr>
            <w:tcW w:w="1890" w:type="dxa"/>
          </w:tcPr>
          <w:p w14:paraId="35C3C812" w14:textId="77777777" w:rsidR="00CC4149" w:rsidRPr="00CC4149" w:rsidRDefault="00CC4149" w:rsidP="00CC4149">
            <w:pPr>
              <w:jc w:val="center"/>
              <w:rPr>
                <w:b/>
                <w:bCs/>
              </w:rPr>
            </w:pPr>
            <w:r w:rsidRPr="00CC4149">
              <w:rPr>
                <w:b/>
                <w:bCs/>
              </w:rPr>
              <w:t>Percent</w:t>
            </w:r>
          </w:p>
        </w:tc>
        <w:tc>
          <w:tcPr>
            <w:tcW w:w="6655" w:type="dxa"/>
          </w:tcPr>
          <w:p w14:paraId="32DF38E0" w14:textId="77777777" w:rsidR="00CC4149" w:rsidRPr="00CC4149" w:rsidRDefault="00CC4149" w:rsidP="00CC4149">
            <w:pPr>
              <w:jc w:val="center"/>
              <w:rPr>
                <w:b/>
                <w:bCs/>
              </w:rPr>
            </w:pPr>
            <w:r w:rsidRPr="00CC4149">
              <w:rPr>
                <w:b/>
                <w:bCs/>
              </w:rPr>
              <w:t>Description</w:t>
            </w:r>
          </w:p>
        </w:tc>
      </w:tr>
      <w:tr w:rsidR="00CC4149" w14:paraId="135C5D32" w14:textId="77777777" w:rsidTr="00CC4149">
        <w:tc>
          <w:tcPr>
            <w:tcW w:w="2245" w:type="dxa"/>
          </w:tcPr>
          <w:p w14:paraId="62A01B79" w14:textId="77777777" w:rsidR="00CC4149" w:rsidRDefault="00CC4149" w:rsidP="00CC4149">
            <w:r>
              <w:t>Labs</w:t>
            </w:r>
          </w:p>
        </w:tc>
        <w:tc>
          <w:tcPr>
            <w:tcW w:w="1890" w:type="dxa"/>
          </w:tcPr>
          <w:p w14:paraId="334AD5A9" w14:textId="77777777" w:rsidR="00CC4149" w:rsidRDefault="00CC4149" w:rsidP="00CC4149">
            <w:r>
              <w:t>50%</w:t>
            </w:r>
          </w:p>
        </w:tc>
        <w:tc>
          <w:tcPr>
            <w:tcW w:w="6655" w:type="dxa"/>
          </w:tcPr>
          <w:p w14:paraId="58F39307" w14:textId="5AC3ABB3" w:rsidR="00CC4149" w:rsidRDefault="00CC4149" w:rsidP="00CC4149">
            <w:r>
              <w:t>Lab exercises</w:t>
            </w:r>
            <w:r w:rsidR="00415D8D">
              <w:t xml:space="preserve">.  </w:t>
            </w:r>
          </w:p>
        </w:tc>
      </w:tr>
      <w:tr w:rsidR="00CC4149" w14:paraId="15A36C91" w14:textId="77777777" w:rsidTr="00CC4149">
        <w:tc>
          <w:tcPr>
            <w:tcW w:w="2245" w:type="dxa"/>
          </w:tcPr>
          <w:p w14:paraId="596FFEFC" w14:textId="77777777" w:rsidR="00CC4149" w:rsidRDefault="00CC4149" w:rsidP="00CC4149">
            <w:r>
              <w:t>Attendance</w:t>
            </w:r>
          </w:p>
        </w:tc>
        <w:tc>
          <w:tcPr>
            <w:tcW w:w="1890" w:type="dxa"/>
          </w:tcPr>
          <w:p w14:paraId="3895EFC0" w14:textId="77777777" w:rsidR="00CC4149" w:rsidRDefault="00CC4149" w:rsidP="00CC4149">
            <w:r>
              <w:t>5%</w:t>
            </w:r>
          </w:p>
        </w:tc>
        <w:tc>
          <w:tcPr>
            <w:tcW w:w="6655" w:type="dxa"/>
          </w:tcPr>
          <w:p w14:paraId="6B1B694C" w14:textId="2E3D4D98" w:rsidR="00CC4149" w:rsidRDefault="00CC4149" w:rsidP="00CC4149">
            <w:r w:rsidRPr="00CC4149">
              <w:t>Roll will be taken at the START of class - showing up late is the same as an absence.</w:t>
            </w:r>
            <w:r w:rsidR="003604B1">
              <w:t xml:space="preserve"> </w:t>
            </w:r>
            <w:r w:rsidRPr="00CC4149">
              <w:t>0-3 absences = 5 pts, 4 = 4 points, 5 = 3 points, 6 = 2 points, 7 = 1 point, &gt;7 = 0 points.</w:t>
            </w:r>
          </w:p>
        </w:tc>
      </w:tr>
      <w:tr w:rsidR="00CC4149" w14:paraId="5C9E26CE" w14:textId="77777777" w:rsidTr="00CC4149">
        <w:tc>
          <w:tcPr>
            <w:tcW w:w="2245" w:type="dxa"/>
          </w:tcPr>
          <w:p w14:paraId="3988B624" w14:textId="77777777" w:rsidR="00CC4149" w:rsidRDefault="00CC4149" w:rsidP="00CC4149">
            <w:r>
              <w:t>Article summaries</w:t>
            </w:r>
          </w:p>
        </w:tc>
        <w:tc>
          <w:tcPr>
            <w:tcW w:w="1890" w:type="dxa"/>
          </w:tcPr>
          <w:p w14:paraId="4CC05726" w14:textId="77777777" w:rsidR="00CC4149" w:rsidRDefault="00CC4149" w:rsidP="00CC4149">
            <w:r>
              <w:t>9%</w:t>
            </w:r>
          </w:p>
        </w:tc>
        <w:tc>
          <w:tcPr>
            <w:tcW w:w="6655" w:type="dxa"/>
          </w:tcPr>
          <w:p w14:paraId="09DC1F01" w14:textId="785BB5B0" w:rsidR="00CC4149" w:rsidRDefault="00CC4149" w:rsidP="00CC4149">
            <w:r w:rsidRPr="00CC4149">
              <w:t xml:space="preserve">Each </w:t>
            </w:r>
            <w:proofErr w:type="spellStart"/>
            <w:r w:rsidRPr="00CC4149">
              <w:t>friday</w:t>
            </w:r>
            <w:proofErr w:type="spellEnd"/>
            <w:r w:rsidRPr="00CC4149">
              <w:t>, an outline/summary of that week's required readings will be due. They must be typed</w:t>
            </w:r>
            <w:r w:rsidR="00B0708E">
              <w:t>, printed, and put in the mailbox on my office door</w:t>
            </w:r>
            <w:r w:rsidRPr="00CC4149">
              <w:t>. </w:t>
            </w:r>
          </w:p>
        </w:tc>
      </w:tr>
      <w:tr w:rsidR="00CC4149" w14:paraId="7AF43F4C" w14:textId="77777777" w:rsidTr="00CC4149">
        <w:tc>
          <w:tcPr>
            <w:tcW w:w="2245" w:type="dxa"/>
          </w:tcPr>
          <w:p w14:paraId="3A438494" w14:textId="77777777" w:rsidR="00CC4149" w:rsidRDefault="00CC4149" w:rsidP="00CC4149">
            <w:r>
              <w:t>Book Review</w:t>
            </w:r>
          </w:p>
        </w:tc>
        <w:tc>
          <w:tcPr>
            <w:tcW w:w="1890" w:type="dxa"/>
          </w:tcPr>
          <w:p w14:paraId="4B41F024" w14:textId="77777777" w:rsidR="00CC4149" w:rsidRDefault="00CC4149" w:rsidP="00CC4149">
            <w:r>
              <w:t>6%</w:t>
            </w:r>
          </w:p>
        </w:tc>
        <w:tc>
          <w:tcPr>
            <w:tcW w:w="6655" w:type="dxa"/>
          </w:tcPr>
          <w:p w14:paraId="3BA66EC5" w14:textId="77777777" w:rsidR="00CC4149" w:rsidRDefault="00CC4149" w:rsidP="00CC4149"/>
        </w:tc>
      </w:tr>
      <w:tr w:rsidR="00CC4149" w14:paraId="3C191CCB" w14:textId="77777777" w:rsidTr="00CC4149">
        <w:tc>
          <w:tcPr>
            <w:tcW w:w="2245" w:type="dxa"/>
          </w:tcPr>
          <w:p w14:paraId="072D4E9C" w14:textId="77777777" w:rsidR="00CC4149" w:rsidRDefault="00CC4149" w:rsidP="00CC4149">
            <w:r>
              <w:t>Midterm Exam</w:t>
            </w:r>
          </w:p>
        </w:tc>
        <w:tc>
          <w:tcPr>
            <w:tcW w:w="1890" w:type="dxa"/>
          </w:tcPr>
          <w:p w14:paraId="702D5DDB" w14:textId="77777777" w:rsidR="00CC4149" w:rsidRDefault="00CC4149" w:rsidP="00CC4149">
            <w:r>
              <w:t>15%</w:t>
            </w:r>
          </w:p>
        </w:tc>
        <w:tc>
          <w:tcPr>
            <w:tcW w:w="6655" w:type="dxa"/>
          </w:tcPr>
          <w:p w14:paraId="17769AB0" w14:textId="77777777" w:rsidR="00CC4149" w:rsidRDefault="00CC4149" w:rsidP="00CC4149"/>
        </w:tc>
      </w:tr>
      <w:tr w:rsidR="00CC4149" w14:paraId="2835DB5E" w14:textId="77777777" w:rsidTr="00CC4149">
        <w:tc>
          <w:tcPr>
            <w:tcW w:w="2245" w:type="dxa"/>
          </w:tcPr>
          <w:p w14:paraId="2A725CD5" w14:textId="77777777" w:rsidR="00CC4149" w:rsidRDefault="00CC4149" w:rsidP="00CC4149">
            <w:r>
              <w:t>Final Exam</w:t>
            </w:r>
          </w:p>
        </w:tc>
        <w:tc>
          <w:tcPr>
            <w:tcW w:w="1890" w:type="dxa"/>
          </w:tcPr>
          <w:p w14:paraId="00601CFE" w14:textId="77777777" w:rsidR="00CC4149" w:rsidRDefault="00CC4149" w:rsidP="00CC4149">
            <w:r>
              <w:t>15%</w:t>
            </w:r>
          </w:p>
        </w:tc>
        <w:tc>
          <w:tcPr>
            <w:tcW w:w="6655" w:type="dxa"/>
          </w:tcPr>
          <w:p w14:paraId="0244E5F0" w14:textId="1344A67B" w:rsidR="00CC4149" w:rsidRDefault="005E2A71" w:rsidP="00CC4149">
            <w:r>
              <w:t>C</w:t>
            </w:r>
            <w:r w:rsidR="00CC4149">
              <w:t>omprehensive</w:t>
            </w:r>
            <w:r>
              <w:t>, focus on second half.</w:t>
            </w:r>
          </w:p>
        </w:tc>
      </w:tr>
      <w:tr w:rsidR="00CC4149" w14:paraId="37951AB8" w14:textId="77777777" w:rsidTr="00CC4149">
        <w:tc>
          <w:tcPr>
            <w:tcW w:w="2245" w:type="dxa"/>
          </w:tcPr>
          <w:p w14:paraId="352D6953" w14:textId="77777777" w:rsidR="00CC4149" w:rsidRDefault="00CC4149" w:rsidP="00CC4149">
            <w:r>
              <w:t>Total</w:t>
            </w:r>
          </w:p>
        </w:tc>
        <w:tc>
          <w:tcPr>
            <w:tcW w:w="1890" w:type="dxa"/>
          </w:tcPr>
          <w:p w14:paraId="2A2E53FB" w14:textId="77777777" w:rsidR="00CC4149" w:rsidRDefault="00CC4149" w:rsidP="00CC4149">
            <w:r>
              <w:t>100%</w:t>
            </w:r>
          </w:p>
        </w:tc>
        <w:tc>
          <w:tcPr>
            <w:tcW w:w="6655" w:type="dxa"/>
          </w:tcPr>
          <w:p w14:paraId="4E589691" w14:textId="77777777" w:rsidR="00CC4149" w:rsidRDefault="00CC4149" w:rsidP="00CC4149"/>
        </w:tc>
      </w:tr>
    </w:tbl>
    <w:p w14:paraId="6E2EE580" w14:textId="77777777" w:rsidR="00CC4149" w:rsidRDefault="00CC4149" w:rsidP="00CC4149"/>
    <w:p w14:paraId="1827457B" w14:textId="77777777" w:rsidR="00CC4149" w:rsidRDefault="00CC4149" w:rsidP="00CC4149">
      <w:r>
        <w:t xml:space="preserve">Note: students are responsible for ALL material covered in lecture (or lab), unless otherwise stated. If you miss class, BOTH check the rough outline online and at least two of your compatriot's notes. </w:t>
      </w:r>
    </w:p>
    <w:p w14:paraId="0570AF58" w14:textId="06FB2184" w:rsidR="00CC4149" w:rsidRDefault="00CC4149" w:rsidP="00CC4149">
      <w:r>
        <w:t xml:space="preserve">Makeup exams will ONLY be given during the two-hour slot immediately following the final exam. Unless it is for a university sponsored activity (conference, athletics, etc) - in which case, the student must contact me at least two days prior to the exam to </w:t>
      </w:r>
      <w:proofErr w:type="gramStart"/>
      <w:r>
        <w:t>make arrangements</w:t>
      </w:r>
      <w:proofErr w:type="gramEnd"/>
      <w:r>
        <w:t>. Without such early contact, the makeup will be after the final exam.</w:t>
      </w:r>
    </w:p>
    <w:p w14:paraId="4F037D0A" w14:textId="77777777" w:rsidR="00CC4149" w:rsidRDefault="00CC4149" w:rsidP="00CC4149">
      <w:r>
        <w:t>Disclaimer - the grading and point assignments shown above may change slightly during the quarter at the professor's discretion.</w:t>
      </w:r>
    </w:p>
    <w:p w14:paraId="53E0B9B4" w14:textId="77777777" w:rsidR="00CC4149" w:rsidRDefault="00CC4149" w:rsidP="00CC4149"/>
    <w:p w14:paraId="6F411CC2" w14:textId="77777777" w:rsidR="00CC4149" w:rsidRPr="00CC4149" w:rsidRDefault="00CC4149" w:rsidP="00CC4149">
      <w:pPr>
        <w:rPr>
          <w:b/>
          <w:bCs/>
          <w:u w:val="single"/>
        </w:rPr>
      </w:pPr>
      <w:r w:rsidRPr="00CC4149">
        <w:rPr>
          <w:b/>
          <w:bCs/>
          <w:u w:val="single"/>
        </w:rPr>
        <w:t>Misc. Rules:</w:t>
      </w:r>
    </w:p>
    <w:p w14:paraId="2FF92DAC" w14:textId="77777777" w:rsidR="00CC4149" w:rsidRDefault="00CC4149" w:rsidP="00CC4149">
      <w:pPr>
        <w:pStyle w:val="ListParagraph"/>
        <w:numPr>
          <w:ilvl w:val="0"/>
          <w:numId w:val="3"/>
        </w:numPr>
      </w:pPr>
      <w:r>
        <w:t xml:space="preserve">Copying another student's work with or without his/her knowledge or giving/receiving aid during any test or examination is cheating. </w:t>
      </w:r>
    </w:p>
    <w:p w14:paraId="0559E83E" w14:textId="71561FF0" w:rsidR="00CC4149" w:rsidRDefault="00CC4149" w:rsidP="00CC4149">
      <w:pPr>
        <w:pStyle w:val="ListParagraph"/>
        <w:numPr>
          <w:ilvl w:val="0"/>
          <w:numId w:val="3"/>
        </w:numPr>
      </w:pPr>
      <w:r>
        <w:t>Copying an author's work without proper citation is plagiarism. Ensure that you provide proper citation in ALL WORK submitted in this class.</w:t>
      </w:r>
    </w:p>
    <w:p w14:paraId="652F544F" w14:textId="77777777" w:rsidR="00CC4149" w:rsidRDefault="00CC4149" w:rsidP="00CC4149">
      <w:pPr>
        <w:pStyle w:val="ListParagraph"/>
        <w:numPr>
          <w:ilvl w:val="0"/>
          <w:numId w:val="3"/>
        </w:numPr>
      </w:pPr>
      <w:r>
        <w:t>The submission for assessment of identical or nearly identical work by two or more students is collusion.</w:t>
      </w:r>
    </w:p>
    <w:p w14:paraId="63C246F8" w14:textId="0A84AA9D" w:rsidR="00CC4149" w:rsidRDefault="00CC4149" w:rsidP="00CC4149">
      <w:pPr>
        <w:pStyle w:val="ListParagraph"/>
        <w:numPr>
          <w:ilvl w:val="1"/>
          <w:numId w:val="3"/>
        </w:numPr>
      </w:pPr>
      <w:r>
        <w:t>Students who engage in copying, plagiarism, or collusion will receive zero (0) points for the work submitted. At the professor's discretion, the student may</w:t>
      </w:r>
      <w:r w:rsidR="005B298E">
        <w:t xml:space="preserve"> also</w:t>
      </w:r>
      <w:r>
        <w:t xml:space="preserve"> be reported to the appropriate administrator.</w:t>
      </w:r>
    </w:p>
    <w:p w14:paraId="311D5F04" w14:textId="4ED2E608" w:rsidR="00F07166" w:rsidRDefault="00F07166" w:rsidP="00CC4149">
      <w:pPr>
        <w:pStyle w:val="ListParagraph"/>
        <w:numPr>
          <w:ilvl w:val="1"/>
          <w:numId w:val="3"/>
        </w:numPr>
      </w:pPr>
      <w:r>
        <w:t>You should cite all geographic data sources used in maps and mapping products.</w:t>
      </w:r>
    </w:p>
    <w:p w14:paraId="2F2983FE" w14:textId="1E91FC10" w:rsidR="00CC4149" w:rsidRDefault="00CC4149" w:rsidP="00CC4149">
      <w:pPr>
        <w:pStyle w:val="ListParagraph"/>
        <w:numPr>
          <w:ilvl w:val="0"/>
          <w:numId w:val="3"/>
        </w:numPr>
      </w:pPr>
      <w:r>
        <w:t xml:space="preserve">At the instructor's discretion: points will be deducted for classroom interruptions. This includes (but is not limited to) cell phones - a maximum of 1 point will be deducted for every time the phone rings (not per call). Answering the phone is included as a separate distraction. For example, Johnny's phone rings </w:t>
      </w:r>
      <w:r>
        <w:lastRenderedPageBreak/>
        <w:t>three times before he answers it (not turns it off) - he could lose 4 points (same as 4% of his final grade). And will lose more if he continues to chat during class.</w:t>
      </w:r>
    </w:p>
    <w:p w14:paraId="617FC009" w14:textId="4996DF48" w:rsidR="005B298E" w:rsidRDefault="005B298E" w:rsidP="00CC4149">
      <w:pPr>
        <w:pStyle w:val="ListParagraph"/>
        <w:numPr>
          <w:ilvl w:val="0"/>
          <w:numId w:val="3"/>
        </w:numPr>
      </w:pPr>
      <w:r>
        <w:t>COVID:  Yup, it’s still with us because far too many people are choosing to not vaccinate.  If you are one of those people, please mask up</w:t>
      </w:r>
      <w:r w:rsidR="005E24A0">
        <w:t xml:space="preserve"> and socially distance.</w:t>
      </w:r>
    </w:p>
    <w:p w14:paraId="66B97054" w14:textId="77777777" w:rsidR="00CC4149" w:rsidRDefault="00CC4149" w:rsidP="00CC4149"/>
    <w:p w14:paraId="7317242C" w14:textId="77777777" w:rsidR="00CC4149" w:rsidRDefault="00CC4149" w:rsidP="00CC4149"/>
    <w:p w14:paraId="59D3AE22" w14:textId="77777777" w:rsidR="00CC4149" w:rsidRPr="00CC4149" w:rsidRDefault="00CC4149" w:rsidP="00CC4149">
      <w:pPr>
        <w:rPr>
          <w:b/>
          <w:bCs/>
          <w:u w:val="single"/>
        </w:rPr>
      </w:pPr>
      <w:r w:rsidRPr="00CC4149">
        <w:rPr>
          <w:b/>
          <w:bCs/>
          <w:u w:val="single"/>
        </w:rPr>
        <w:t>Grading scale:</w:t>
      </w:r>
    </w:p>
    <w:p w14:paraId="28CC3BD3" w14:textId="77777777" w:rsidR="00CC4149" w:rsidRDefault="00CC4149" w:rsidP="00CC4149">
      <w:r>
        <w:t>A............................................ 93% - 100%</w:t>
      </w:r>
    </w:p>
    <w:p w14:paraId="3E1FCF97" w14:textId="77777777" w:rsidR="00CC4149" w:rsidRDefault="00CC4149" w:rsidP="00CC4149">
      <w:r>
        <w:t xml:space="preserve">A-........................................... 90% - 93% </w:t>
      </w:r>
    </w:p>
    <w:p w14:paraId="656BA7B3" w14:textId="77777777" w:rsidR="00CC4149" w:rsidRDefault="00CC4149" w:rsidP="00CC4149">
      <w:r>
        <w:t>B+.......................................... 87% - 90%</w:t>
      </w:r>
    </w:p>
    <w:p w14:paraId="6E0D61AE" w14:textId="77777777" w:rsidR="00CC4149" w:rsidRDefault="00CC4149" w:rsidP="00CC4149">
      <w:r>
        <w:t>B............................................ 83% - 87%</w:t>
      </w:r>
    </w:p>
    <w:p w14:paraId="12694062" w14:textId="77777777" w:rsidR="00CC4149" w:rsidRDefault="00CC4149" w:rsidP="00CC4149">
      <w:r>
        <w:t>B-........................................... 80% - 83%</w:t>
      </w:r>
    </w:p>
    <w:p w14:paraId="6AD79FEE" w14:textId="77777777" w:rsidR="00CC4149" w:rsidRDefault="00CC4149" w:rsidP="00CC4149">
      <w:r>
        <w:t>C+.......................................... 77% - 80%</w:t>
      </w:r>
    </w:p>
    <w:p w14:paraId="6D1F4D5E" w14:textId="77777777" w:rsidR="00CC4149" w:rsidRDefault="00CC4149" w:rsidP="00CC4149">
      <w:r>
        <w:t>C............................................ 73% - 77%</w:t>
      </w:r>
    </w:p>
    <w:p w14:paraId="64E7FC2B" w14:textId="77777777" w:rsidR="00CC4149" w:rsidRDefault="00CC4149" w:rsidP="00CC4149">
      <w:r>
        <w:t>C-........................................... 70% - 73%</w:t>
      </w:r>
    </w:p>
    <w:p w14:paraId="32C1E28D" w14:textId="77777777" w:rsidR="00CC4149" w:rsidRDefault="00CC4149" w:rsidP="00CC4149">
      <w:r>
        <w:t>D+.......................................... 67% - 70%</w:t>
      </w:r>
    </w:p>
    <w:p w14:paraId="531D0866" w14:textId="77777777" w:rsidR="00CC4149" w:rsidRDefault="00CC4149" w:rsidP="00CC4149">
      <w:r>
        <w:t>D............................................ 63% - 67%</w:t>
      </w:r>
    </w:p>
    <w:p w14:paraId="1BD80E58" w14:textId="77777777" w:rsidR="00CC4149" w:rsidRDefault="00CC4149" w:rsidP="00CC4149">
      <w:r>
        <w:t>D-........................................... 60% - 63%</w:t>
      </w:r>
    </w:p>
    <w:p w14:paraId="4AAAFEEA" w14:textId="77777777" w:rsidR="00CC4149" w:rsidRDefault="00CC4149" w:rsidP="00CC4149">
      <w:r>
        <w:t xml:space="preserve">F &lt; 60% </w:t>
      </w:r>
    </w:p>
    <w:p w14:paraId="1D0232A6" w14:textId="77777777" w:rsidR="00CC4149" w:rsidRDefault="00CC4149" w:rsidP="00CC4149"/>
    <w:p w14:paraId="785DC366" w14:textId="77777777" w:rsidR="00CC4149" w:rsidRDefault="00CC4149" w:rsidP="00CC4149">
      <w:r w:rsidRPr="00CC4149">
        <w:rPr>
          <w:b/>
          <w:bCs/>
          <w:u w:val="single"/>
        </w:rPr>
        <w:t>Student conduc</w:t>
      </w:r>
      <w:r>
        <w:rPr>
          <w:b/>
          <w:bCs/>
          <w:u w:val="single"/>
        </w:rPr>
        <w:t>t rules and regs</w:t>
      </w:r>
      <w:r>
        <w:t>. Please review:</w:t>
      </w:r>
    </w:p>
    <w:p w14:paraId="401E09A1" w14:textId="77777777" w:rsidR="00294EB6" w:rsidRDefault="00000000" w:rsidP="00294EB6">
      <w:pPr>
        <w:pStyle w:val="ListParagraph"/>
        <w:numPr>
          <w:ilvl w:val="0"/>
          <w:numId w:val="4"/>
        </w:numPr>
      </w:pPr>
      <w:hyperlink r:id="rId5" w:history="1">
        <w:r w:rsidR="00294EB6" w:rsidRPr="00773E87">
          <w:rPr>
            <w:rStyle w:val="Hyperlink"/>
          </w:rPr>
          <w:t>https://apps.leg.wa.gov/WAC/default.aspx?cite=106-125-020</w:t>
        </w:r>
      </w:hyperlink>
      <w:r w:rsidR="00294EB6">
        <w:t xml:space="preserve">  Note, this is the State’s rules and regs regarding “Prohibited student conduct” which we all follow.  It’s worth a read.</w:t>
      </w:r>
    </w:p>
    <w:p w14:paraId="5B643CC7" w14:textId="77777777" w:rsidR="00294EB6" w:rsidRDefault="00000000" w:rsidP="00294EB6">
      <w:pPr>
        <w:pStyle w:val="ListParagraph"/>
        <w:numPr>
          <w:ilvl w:val="0"/>
          <w:numId w:val="4"/>
        </w:numPr>
      </w:pPr>
      <w:hyperlink r:id="rId6" w:history="1">
        <w:r w:rsidR="00294EB6" w:rsidRPr="00773E87">
          <w:rPr>
            <w:rStyle w:val="Hyperlink"/>
          </w:rPr>
          <w:t>https://apps.leg.wa.gov/wac/default.aspx?cite=106-125</w:t>
        </w:r>
      </w:hyperlink>
      <w:r w:rsidR="00294EB6">
        <w:t xml:space="preserve"> for more stuff vaguely related to you and CWU.</w:t>
      </w:r>
    </w:p>
    <w:p w14:paraId="2F7C8F96" w14:textId="77777777" w:rsidR="00CC4149" w:rsidRDefault="00CC4149" w:rsidP="00CC4149"/>
    <w:p w14:paraId="589D398B" w14:textId="77777777" w:rsidR="00CC4149" w:rsidRDefault="00CC4149" w:rsidP="00CC4149">
      <w:r>
        <w:t xml:space="preserve">“CWU expects every member of the university community to contribute to an inclusive and respectful culture for all in its classrooms, work environments, and at campus events.” </w:t>
      </w:r>
    </w:p>
    <w:p w14:paraId="22B57159" w14:textId="77777777" w:rsidR="00CC4149" w:rsidRDefault="00CC4149" w:rsidP="00CC4149"/>
    <w:p w14:paraId="25CA33BB" w14:textId="719675BF" w:rsidR="00CC4149" w:rsidRDefault="00CC4149" w:rsidP="00CC4149">
      <w:r>
        <w:t xml:space="preserve">Central Washington University is committed to creating a learning environment that meets the needs of its diverse student body. If you anticipate or experience any obstacles to learning, contact Disability Services to discuss a range of available options. Student Disability Services </w:t>
      </w:r>
      <w:proofErr w:type="gramStart"/>
      <w:r>
        <w:t>is located in</w:t>
      </w:r>
      <w:proofErr w:type="gramEnd"/>
      <w:r>
        <w:t xml:space="preserve"> Hogue 126. Call (509) 963-2214 or email ds@cwu.edu for more information.</w:t>
      </w:r>
    </w:p>
    <w:p w14:paraId="3430155A" w14:textId="11AE3FE1" w:rsidR="00D64EAA" w:rsidRDefault="00D64EAA" w:rsidP="00CC4149">
      <w:r>
        <w:t xml:space="preserve">In compliance with RCW 28B.137.010, Central Washington University makes every effort to deal reasonably and fairly with students who, because of religious obligations, have conflicts with scheduled exams, assignments or required attendance. Students must present written notice to their instructor within the first two </w:t>
      </w:r>
      <w:r>
        <w:lastRenderedPageBreak/>
        <w:t>weeks of class listing the specific dates on which accommodations are required. Contact the Dean of Student Success at (509) 963-1515 for further information or questions.</w:t>
      </w:r>
    </w:p>
    <w:p w14:paraId="592F62F3" w14:textId="77777777" w:rsidR="00CC4149" w:rsidRDefault="00CC4149" w:rsidP="00CC4149"/>
    <w:p w14:paraId="09F3F233" w14:textId="77777777" w:rsidR="00CC4149" w:rsidRDefault="00CC4149" w:rsidP="00CC4149"/>
    <w:p w14:paraId="1972F340" w14:textId="00A0E08B" w:rsidR="00013992" w:rsidRDefault="00013992" w:rsidP="00013992">
      <w:pPr>
        <w:pStyle w:val="Default"/>
        <w:jc w:val="center"/>
        <w:rPr>
          <w:rFonts w:ascii="Times New Roman" w:hAnsi="Times New Roman" w:cs="Times New Roman"/>
          <w:b/>
          <w:bCs/>
          <w:u w:val="single"/>
        </w:rPr>
      </w:pPr>
      <w:r w:rsidRPr="00013992">
        <w:rPr>
          <w:rFonts w:ascii="Times New Roman" w:hAnsi="Times New Roman" w:cs="Times New Roman"/>
          <w:b/>
          <w:bCs/>
          <w:u w:val="single"/>
        </w:rPr>
        <w:t>GIS lab code of conduct</w:t>
      </w:r>
    </w:p>
    <w:p w14:paraId="36D2E487" w14:textId="77777777" w:rsidR="00013992" w:rsidRPr="00013992" w:rsidRDefault="00013992" w:rsidP="00013992">
      <w:pPr>
        <w:pStyle w:val="Default"/>
        <w:jc w:val="center"/>
        <w:rPr>
          <w:rFonts w:ascii="Times New Roman" w:hAnsi="Times New Roman" w:cs="Times New Roman"/>
          <w:b/>
          <w:bCs/>
          <w:u w:val="single"/>
        </w:rPr>
      </w:pPr>
    </w:p>
    <w:p w14:paraId="2A81212B" w14:textId="77777777" w:rsidR="00013992" w:rsidRDefault="00013992" w:rsidP="00013992">
      <w:pPr>
        <w:pStyle w:val="Default"/>
        <w:rPr>
          <w:rFonts w:ascii="Times New Roman" w:hAnsi="Times New Roman" w:cs="Times New Roman"/>
        </w:rPr>
      </w:pPr>
      <w:r w:rsidRPr="00013992">
        <w:rPr>
          <w:rFonts w:ascii="Times New Roman" w:hAnsi="Times New Roman" w:cs="Times New Roman"/>
        </w:rPr>
        <w:t xml:space="preserve">The GIS lab in Dean 206 is a community space where everyone should </w:t>
      </w:r>
      <w:proofErr w:type="gramStart"/>
      <w:r w:rsidRPr="00013992">
        <w:rPr>
          <w:rFonts w:ascii="Times New Roman" w:hAnsi="Times New Roman" w:cs="Times New Roman"/>
        </w:rPr>
        <w:t>feel comfortable working at all times</w:t>
      </w:r>
      <w:proofErr w:type="gramEnd"/>
      <w:r w:rsidRPr="00013992">
        <w:rPr>
          <w:rFonts w:ascii="Times New Roman" w:hAnsi="Times New Roman" w:cs="Times New Roman"/>
        </w:rPr>
        <w:t xml:space="preserve">. </w:t>
      </w:r>
      <w:r>
        <w:rPr>
          <w:rFonts w:ascii="Times New Roman" w:hAnsi="Times New Roman" w:cs="Times New Roman"/>
        </w:rPr>
        <w:t>It is your space – treat it well, and it will take care of you.</w:t>
      </w:r>
    </w:p>
    <w:p w14:paraId="225BC488" w14:textId="77777777" w:rsidR="00013992" w:rsidRDefault="00013992" w:rsidP="00013992">
      <w:pPr>
        <w:pStyle w:val="Default"/>
        <w:rPr>
          <w:rFonts w:ascii="Times New Roman" w:hAnsi="Times New Roman" w:cs="Times New Roman"/>
        </w:rPr>
      </w:pPr>
    </w:p>
    <w:p w14:paraId="69EAA967" w14:textId="09682A03" w:rsidR="00013992" w:rsidRDefault="00013992" w:rsidP="00013992">
      <w:pPr>
        <w:pStyle w:val="Default"/>
        <w:rPr>
          <w:rFonts w:ascii="Times New Roman" w:hAnsi="Times New Roman" w:cs="Times New Roman"/>
        </w:rPr>
      </w:pPr>
      <w:r w:rsidRPr="00013992">
        <w:rPr>
          <w:rFonts w:ascii="Times New Roman" w:hAnsi="Times New Roman" w:cs="Times New Roman"/>
        </w:rPr>
        <w:t xml:space="preserve">Since many people share the lab, you are expected to maintain a professional demeanor and act and speak in a way that does not create a distracting or hostile environment for your fellow students. </w:t>
      </w:r>
      <w:r>
        <w:rPr>
          <w:rFonts w:ascii="Times New Roman" w:hAnsi="Times New Roman" w:cs="Times New Roman"/>
        </w:rPr>
        <w:t xml:space="preserve"> This includes:</w:t>
      </w:r>
    </w:p>
    <w:p w14:paraId="7C2072E7" w14:textId="03E50281" w:rsidR="00013992" w:rsidRDefault="00013992" w:rsidP="00013992">
      <w:pPr>
        <w:pStyle w:val="Default"/>
        <w:rPr>
          <w:rFonts w:ascii="Times New Roman" w:hAnsi="Times New Roman" w:cs="Times New Roman"/>
        </w:rPr>
      </w:pPr>
    </w:p>
    <w:p w14:paraId="282D14B4" w14:textId="77FE4DAD" w:rsidR="00013992" w:rsidRDefault="00013992" w:rsidP="00013992">
      <w:pPr>
        <w:pStyle w:val="Default"/>
        <w:numPr>
          <w:ilvl w:val="0"/>
          <w:numId w:val="5"/>
        </w:numPr>
        <w:rPr>
          <w:rFonts w:ascii="Times New Roman" w:hAnsi="Times New Roman" w:cs="Times New Roman"/>
        </w:rPr>
      </w:pPr>
      <w:r w:rsidRPr="00013992">
        <w:rPr>
          <w:rFonts w:ascii="Times New Roman" w:hAnsi="Times New Roman" w:cs="Times New Roman"/>
        </w:rPr>
        <w:t xml:space="preserve">Sexual harassment, intimidation, and bullying are prohibited. </w:t>
      </w:r>
      <w:r w:rsidR="005E24A0">
        <w:rPr>
          <w:rFonts w:ascii="Times New Roman" w:hAnsi="Times New Roman" w:cs="Times New Roman"/>
        </w:rPr>
        <w:t>If something improper is happening, please come see me.</w:t>
      </w:r>
    </w:p>
    <w:p w14:paraId="290EA11B" w14:textId="3430FFDB" w:rsidR="00013992" w:rsidRDefault="00013992" w:rsidP="00013992">
      <w:pPr>
        <w:pStyle w:val="Default"/>
        <w:numPr>
          <w:ilvl w:val="0"/>
          <w:numId w:val="5"/>
        </w:numPr>
        <w:rPr>
          <w:rFonts w:ascii="Times New Roman" w:hAnsi="Times New Roman" w:cs="Times New Roman"/>
        </w:rPr>
      </w:pPr>
      <w:r w:rsidRPr="00013992">
        <w:rPr>
          <w:rFonts w:ascii="Times New Roman" w:hAnsi="Times New Roman" w:cs="Times New Roman"/>
        </w:rPr>
        <w:t xml:space="preserve">If you need to work in the lab and there is a class in session, please quietly use the annex room in 206D (the one with the plotter). If that lab is full, most instructors don’t mind if you remain in the main 206 room </w:t>
      </w:r>
      <w:proofErr w:type="gramStart"/>
      <w:r w:rsidRPr="00013992">
        <w:rPr>
          <w:rFonts w:ascii="Times New Roman" w:hAnsi="Times New Roman" w:cs="Times New Roman"/>
        </w:rPr>
        <w:t>as long as</w:t>
      </w:r>
      <w:proofErr w:type="gramEnd"/>
      <w:r w:rsidRPr="00013992">
        <w:rPr>
          <w:rFonts w:ascii="Times New Roman" w:hAnsi="Times New Roman" w:cs="Times New Roman"/>
        </w:rPr>
        <w:t xml:space="preserve"> there is computer space available for their own students and you don’t make </w:t>
      </w:r>
      <w:r w:rsidR="00F07166">
        <w:rPr>
          <w:rFonts w:ascii="Times New Roman" w:hAnsi="Times New Roman" w:cs="Times New Roman"/>
        </w:rPr>
        <w:t>any</w:t>
      </w:r>
      <w:r w:rsidRPr="00013992">
        <w:rPr>
          <w:rFonts w:ascii="Times New Roman" w:hAnsi="Times New Roman" w:cs="Times New Roman"/>
        </w:rPr>
        <w:t xml:space="preserve"> noise.</w:t>
      </w:r>
    </w:p>
    <w:p w14:paraId="09312E95" w14:textId="19A5FCA0" w:rsidR="00013992" w:rsidRDefault="00013992" w:rsidP="00013992">
      <w:pPr>
        <w:pStyle w:val="Default"/>
        <w:numPr>
          <w:ilvl w:val="0"/>
          <w:numId w:val="5"/>
        </w:numPr>
        <w:rPr>
          <w:rFonts w:ascii="Times New Roman" w:hAnsi="Times New Roman" w:cs="Times New Roman"/>
        </w:rPr>
      </w:pPr>
      <w:r w:rsidRPr="00013992">
        <w:rPr>
          <w:rFonts w:ascii="Times New Roman" w:hAnsi="Times New Roman" w:cs="Times New Roman"/>
        </w:rPr>
        <w:t>Everyone can hear you, so keep your voices at a quiet level, speak respectfully, and avoid profanity (I know this can be difficult</w:t>
      </w:r>
      <w:r w:rsidR="005E24A0">
        <w:rPr>
          <w:rFonts w:ascii="Times New Roman" w:hAnsi="Times New Roman" w:cs="Times New Roman"/>
        </w:rPr>
        <w:t>, especially</w:t>
      </w:r>
      <w:r w:rsidRPr="00013992">
        <w:rPr>
          <w:rFonts w:ascii="Times New Roman" w:hAnsi="Times New Roman" w:cs="Times New Roman"/>
        </w:rPr>
        <w:t xml:space="preserve"> when working with </w:t>
      </w:r>
      <w:r w:rsidR="005E24A0">
        <w:rPr>
          <w:rFonts w:ascii="Times New Roman" w:hAnsi="Times New Roman" w:cs="Times New Roman"/>
        </w:rPr>
        <w:t xml:space="preserve">GIS </w:t>
      </w:r>
      <w:r w:rsidRPr="00013992">
        <w:rPr>
          <w:rFonts w:ascii="Times New Roman" w:hAnsi="Times New Roman" w:cs="Times New Roman"/>
        </w:rPr>
        <w:t xml:space="preserve">software). </w:t>
      </w:r>
    </w:p>
    <w:p w14:paraId="7BBA4E29" w14:textId="5521364B" w:rsidR="00013992" w:rsidRPr="00013992" w:rsidRDefault="00013992" w:rsidP="00013992">
      <w:pPr>
        <w:pStyle w:val="Default"/>
        <w:numPr>
          <w:ilvl w:val="0"/>
          <w:numId w:val="5"/>
        </w:numPr>
        <w:rPr>
          <w:rFonts w:ascii="Times New Roman" w:hAnsi="Times New Roman" w:cs="Times New Roman"/>
        </w:rPr>
      </w:pPr>
      <w:r>
        <w:rPr>
          <w:rFonts w:ascii="Times New Roman" w:hAnsi="Times New Roman" w:cs="Times New Roman"/>
        </w:rPr>
        <w:t>No booze</w:t>
      </w:r>
      <w:r w:rsidRPr="00013992">
        <w:rPr>
          <w:rFonts w:ascii="Times New Roman" w:hAnsi="Times New Roman" w:cs="Times New Roman"/>
        </w:rPr>
        <w:t xml:space="preserve">. </w:t>
      </w:r>
    </w:p>
    <w:p w14:paraId="035355D9" w14:textId="77777777" w:rsidR="00013992" w:rsidRPr="00013992" w:rsidRDefault="00013992" w:rsidP="00013992">
      <w:pPr>
        <w:pStyle w:val="Default"/>
        <w:numPr>
          <w:ilvl w:val="0"/>
          <w:numId w:val="5"/>
        </w:numPr>
        <w:rPr>
          <w:rFonts w:ascii="Times New Roman" w:hAnsi="Times New Roman" w:cs="Times New Roman"/>
        </w:rPr>
      </w:pPr>
      <w:r w:rsidRPr="00013992">
        <w:rPr>
          <w:rFonts w:ascii="Times New Roman" w:hAnsi="Times New Roman" w:cs="Times New Roman"/>
        </w:rPr>
        <w:t xml:space="preserve">Do not play music or videos without headphones unless you are the only person in the lab. </w:t>
      </w:r>
    </w:p>
    <w:p w14:paraId="2B809282" w14:textId="77777777" w:rsidR="00013992" w:rsidRPr="00013992" w:rsidRDefault="00013992" w:rsidP="00013992">
      <w:pPr>
        <w:pStyle w:val="Default"/>
        <w:numPr>
          <w:ilvl w:val="0"/>
          <w:numId w:val="5"/>
        </w:numPr>
        <w:rPr>
          <w:rFonts w:ascii="Times New Roman" w:hAnsi="Times New Roman" w:cs="Times New Roman"/>
        </w:rPr>
      </w:pPr>
      <w:r w:rsidRPr="00013992">
        <w:rPr>
          <w:rFonts w:ascii="Times New Roman" w:hAnsi="Times New Roman" w:cs="Times New Roman"/>
        </w:rPr>
        <w:t xml:space="preserve">Do not use the video screen or lab audio-visual system without instructor approval. </w:t>
      </w:r>
    </w:p>
    <w:p w14:paraId="2D8FB229" w14:textId="77777777" w:rsidR="00013992" w:rsidRPr="00013992" w:rsidRDefault="00013992" w:rsidP="00013992">
      <w:pPr>
        <w:pStyle w:val="Default"/>
        <w:numPr>
          <w:ilvl w:val="0"/>
          <w:numId w:val="5"/>
        </w:numPr>
        <w:rPr>
          <w:rFonts w:ascii="Times New Roman" w:hAnsi="Times New Roman" w:cs="Times New Roman"/>
        </w:rPr>
      </w:pPr>
      <w:r w:rsidRPr="00013992">
        <w:rPr>
          <w:rFonts w:ascii="Times New Roman" w:hAnsi="Times New Roman" w:cs="Times New Roman"/>
        </w:rPr>
        <w:t xml:space="preserve">Do not access or create sexually explicit materials using lab equipment. </w:t>
      </w:r>
    </w:p>
    <w:p w14:paraId="6E9F53E9" w14:textId="2CA9CB5F" w:rsidR="00FC1FEC" w:rsidRPr="00013992" w:rsidRDefault="00013992" w:rsidP="00013992">
      <w:pPr>
        <w:pStyle w:val="Default"/>
        <w:numPr>
          <w:ilvl w:val="0"/>
          <w:numId w:val="5"/>
        </w:numPr>
        <w:rPr>
          <w:rFonts w:ascii="Times New Roman" w:hAnsi="Times New Roman" w:cs="Times New Roman"/>
        </w:rPr>
      </w:pPr>
      <w:r w:rsidRPr="00013992">
        <w:rPr>
          <w:rFonts w:ascii="Times New Roman" w:hAnsi="Times New Roman" w:cs="Times New Roman"/>
        </w:rPr>
        <w:t>For security purposes, please avoid propping open the lab doors.</w:t>
      </w:r>
    </w:p>
    <w:p w14:paraId="08EBC6E5" w14:textId="3AE7E388" w:rsidR="00013992" w:rsidRPr="00013992" w:rsidRDefault="00013992" w:rsidP="00013992">
      <w:pPr>
        <w:pStyle w:val="Default"/>
        <w:numPr>
          <w:ilvl w:val="0"/>
          <w:numId w:val="5"/>
        </w:numPr>
        <w:rPr>
          <w:rFonts w:ascii="Times New Roman" w:hAnsi="Times New Roman" w:cs="Times New Roman"/>
        </w:rPr>
      </w:pPr>
      <w:r w:rsidRPr="00013992">
        <w:rPr>
          <w:rFonts w:ascii="Times New Roman" w:hAnsi="Times New Roman" w:cs="Times New Roman"/>
        </w:rPr>
        <w:t>If you make coffee or use one of the provided mugs, clean things up for the next person.</w:t>
      </w:r>
    </w:p>
    <w:p w14:paraId="68571BA3" w14:textId="70CC2BEE" w:rsidR="00013992" w:rsidRPr="00013992" w:rsidRDefault="00013992" w:rsidP="00013992">
      <w:pPr>
        <w:pStyle w:val="Default"/>
        <w:rPr>
          <w:rFonts w:ascii="Times New Roman" w:hAnsi="Times New Roman" w:cs="Times New Roman"/>
        </w:rPr>
      </w:pPr>
    </w:p>
    <w:p w14:paraId="63BE42FE" w14:textId="7BFEC163" w:rsidR="00013992" w:rsidRDefault="00013992" w:rsidP="00013992">
      <w:pPr>
        <w:pStyle w:val="Default"/>
        <w:rPr>
          <w:rFonts w:ascii="Times New Roman" w:hAnsi="Times New Roman" w:cs="Times New Roman"/>
        </w:rPr>
      </w:pPr>
      <w:r w:rsidRPr="00013992">
        <w:rPr>
          <w:rFonts w:ascii="Times New Roman" w:hAnsi="Times New Roman" w:cs="Times New Roman"/>
        </w:rPr>
        <w:t xml:space="preserve">Seriously, we have worked hard to make this a great space for students to work.  Good computers, all the other equipment you might need, comfy chairs, </w:t>
      </w:r>
      <w:r>
        <w:rPr>
          <w:rFonts w:ascii="Times New Roman" w:hAnsi="Times New Roman" w:cs="Times New Roman"/>
        </w:rPr>
        <w:t xml:space="preserve">24-hour access, </w:t>
      </w:r>
      <w:r w:rsidRPr="00013992">
        <w:rPr>
          <w:rFonts w:ascii="Times New Roman" w:hAnsi="Times New Roman" w:cs="Times New Roman"/>
        </w:rPr>
        <w:t xml:space="preserve">a lab TA to </w:t>
      </w:r>
      <w:proofErr w:type="gramStart"/>
      <w:r w:rsidRPr="00013992">
        <w:rPr>
          <w:rFonts w:ascii="Times New Roman" w:hAnsi="Times New Roman" w:cs="Times New Roman"/>
        </w:rPr>
        <w:t>help out</w:t>
      </w:r>
      <w:proofErr w:type="gramEnd"/>
      <w:r w:rsidRPr="00013992">
        <w:rPr>
          <w:rFonts w:ascii="Times New Roman" w:hAnsi="Times New Roman" w:cs="Times New Roman"/>
        </w:rPr>
        <w:t>, and coffee.</w:t>
      </w:r>
      <w:r>
        <w:rPr>
          <w:rFonts w:ascii="Times New Roman" w:hAnsi="Times New Roman" w:cs="Times New Roman"/>
        </w:rPr>
        <w:t xml:space="preserve">  </w:t>
      </w:r>
      <w:proofErr w:type="gramStart"/>
      <w:r>
        <w:rPr>
          <w:rFonts w:ascii="Times New Roman" w:hAnsi="Times New Roman" w:cs="Times New Roman"/>
        </w:rPr>
        <w:t>As long as</w:t>
      </w:r>
      <w:proofErr w:type="gramEnd"/>
      <w:r>
        <w:rPr>
          <w:rFonts w:ascii="Times New Roman" w:hAnsi="Times New Roman" w:cs="Times New Roman"/>
        </w:rPr>
        <w:t xml:space="preserve"> no one causes problems, it will remain a </w:t>
      </w:r>
      <w:hyperlink r:id="rId7" w:history="1">
        <w:r w:rsidRPr="00617EF1">
          <w:rPr>
            <w:rStyle w:val="Hyperlink"/>
            <w:rFonts w:ascii="Times New Roman" w:hAnsi="Times New Roman" w:cs="Times New Roman"/>
          </w:rPr>
          <w:t>most excellent</w:t>
        </w:r>
      </w:hyperlink>
      <w:r>
        <w:rPr>
          <w:rFonts w:ascii="Times New Roman" w:hAnsi="Times New Roman" w:cs="Times New Roman"/>
        </w:rPr>
        <w:t xml:space="preserve"> place.</w:t>
      </w:r>
    </w:p>
    <w:p w14:paraId="61CD8F63" w14:textId="77777777" w:rsidR="00F07166" w:rsidRDefault="00F07166" w:rsidP="00013992">
      <w:pPr>
        <w:pStyle w:val="Default"/>
        <w:rPr>
          <w:rFonts w:ascii="Times New Roman" w:hAnsi="Times New Roman" w:cs="Times New Roman"/>
        </w:rPr>
      </w:pPr>
    </w:p>
    <w:p w14:paraId="4924E8A4" w14:textId="77777777" w:rsidR="00F07166" w:rsidRPr="00F07166" w:rsidRDefault="00F07166" w:rsidP="00F07166">
      <w:pPr>
        <w:pStyle w:val="Heading3"/>
        <w:jc w:val="center"/>
        <w:rPr>
          <w:rStyle w:val="Strong"/>
          <w:rFonts w:ascii="Times New Roman" w:eastAsia="Times New Roman" w:hAnsi="Times New Roman" w:cs="Times New Roman"/>
          <w:b/>
          <w:bCs/>
          <w:color w:val="auto"/>
          <w:sz w:val="24"/>
          <w:szCs w:val="24"/>
          <w:u w:val="single"/>
        </w:rPr>
      </w:pPr>
      <w:r w:rsidRPr="00F07166">
        <w:rPr>
          <w:rStyle w:val="Strong"/>
          <w:rFonts w:ascii="Times New Roman" w:eastAsia="Times New Roman" w:hAnsi="Times New Roman" w:cs="Times New Roman"/>
          <w:b/>
          <w:bCs/>
          <w:color w:val="auto"/>
          <w:sz w:val="24"/>
          <w:szCs w:val="24"/>
          <w:u w:val="single"/>
        </w:rPr>
        <w:t>References and letters of recommendation</w:t>
      </w:r>
    </w:p>
    <w:p w14:paraId="27FDC980" w14:textId="08027F4F" w:rsidR="00F07166" w:rsidRDefault="00F07166" w:rsidP="00F07166">
      <w:r>
        <w:br/>
        <w:t xml:space="preserve">Occasionally students ask if I will provide recommendations for jobs, graduate school, or other opportunities. I often agree to do this; however, I typically only provide recommendations for students who earned at least a B grade in their most recent class with me (or have at least a B average in the classes they’ve taken with me). I won’t provide recommendations for students who were consistently late/absent from class or who regularly handed in late work.  </w:t>
      </w:r>
    </w:p>
    <w:p w14:paraId="23BDF320" w14:textId="069851CB" w:rsidR="00F07166" w:rsidRDefault="00F07166" w:rsidP="00F07166">
      <w:r>
        <w:t>If I agree to provide a reference or recommendation, you must complete a FERPA privacy release so that I can discuss your enrollment and performance in class. This form is downloadable from my website, right under current classes.</w:t>
      </w:r>
    </w:p>
    <w:p w14:paraId="1C867EE3" w14:textId="6EBE8F65" w:rsidR="00550C3F" w:rsidRDefault="00550C3F" w:rsidP="00F07166"/>
    <w:p w14:paraId="34A9A972" w14:textId="77777777" w:rsidR="00550C3F" w:rsidRPr="00550C3F" w:rsidRDefault="00550C3F" w:rsidP="00550C3F">
      <w:pPr>
        <w:jc w:val="center"/>
        <w:rPr>
          <w:rFonts w:eastAsia="Times New Roman"/>
          <w:b/>
          <w:bCs/>
        </w:rPr>
      </w:pPr>
      <w:r w:rsidRPr="00550C3F">
        <w:rPr>
          <w:rFonts w:eastAsia="Times New Roman"/>
          <w:b/>
          <w:bCs/>
        </w:rPr>
        <w:t>In case you need them, see below:</w:t>
      </w:r>
    </w:p>
    <w:p w14:paraId="6BD659DF" w14:textId="77777777" w:rsidR="00550C3F" w:rsidRDefault="00550C3F" w:rsidP="00550C3F">
      <w:pPr>
        <w:pStyle w:val="ListParagraph"/>
        <w:numPr>
          <w:ilvl w:val="0"/>
          <w:numId w:val="6"/>
        </w:numPr>
        <w:spacing w:line="256" w:lineRule="auto"/>
        <w:rPr>
          <w:rFonts w:eastAsia="Times New Roman"/>
        </w:rPr>
      </w:pPr>
      <w:r>
        <w:rPr>
          <w:rFonts w:eastAsia="Times New Roman"/>
        </w:rPr>
        <w:t>Need more food?</w:t>
      </w:r>
    </w:p>
    <w:p w14:paraId="1942A997" w14:textId="77777777" w:rsidR="00550C3F" w:rsidRDefault="00550C3F" w:rsidP="00550C3F">
      <w:pPr>
        <w:pStyle w:val="ListParagraph"/>
        <w:numPr>
          <w:ilvl w:val="1"/>
          <w:numId w:val="6"/>
        </w:numPr>
        <w:spacing w:line="256" w:lineRule="auto"/>
      </w:pPr>
      <w:r>
        <w:t>Wildcat pantry in the library (101c).</w:t>
      </w:r>
    </w:p>
    <w:p w14:paraId="2D70B6C9" w14:textId="77777777" w:rsidR="00550C3F" w:rsidRDefault="00550C3F" w:rsidP="00550C3F">
      <w:pPr>
        <w:pStyle w:val="ListParagraph"/>
        <w:numPr>
          <w:ilvl w:val="1"/>
          <w:numId w:val="6"/>
        </w:numPr>
        <w:spacing w:line="256" w:lineRule="auto"/>
      </w:pPr>
      <w:r>
        <w:t xml:space="preserve">FISH food bank: </w:t>
      </w:r>
      <w:hyperlink r:id="rId8" w:history="1">
        <w:r>
          <w:rPr>
            <w:rStyle w:val="Hyperlink"/>
          </w:rPr>
          <w:t>https://kvfish.org</w:t>
        </w:r>
      </w:hyperlink>
      <w:r>
        <w:t xml:space="preserve"> </w:t>
      </w:r>
    </w:p>
    <w:p w14:paraId="582107F2" w14:textId="77777777" w:rsidR="00550C3F" w:rsidRDefault="00550C3F" w:rsidP="00550C3F">
      <w:pPr>
        <w:pStyle w:val="ListParagraph"/>
        <w:numPr>
          <w:ilvl w:val="1"/>
          <w:numId w:val="6"/>
        </w:numPr>
        <w:spacing w:line="256" w:lineRule="auto"/>
      </w:pPr>
      <w:proofErr w:type="spellStart"/>
      <w:r>
        <w:lastRenderedPageBreak/>
        <w:t>Apoyo</w:t>
      </w:r>
      <w:proofErr w:type="spellEnd"/>
      <w:r>
        <w:t xml:space="preserve"> food bank:  </w:t>
      </w:r>
      <w:hyperlink r:id="rId9" w:history="1">
        <w:r>
          <w:rPr>
            <w:rStyle w:val="Hyperlink"/>
          </w:rPr>
          <w:t>https://apoyo-community.org/</w:t>
        </w:r>
      </w:hyperlink>
      <w:r>
        <w:t xml:space="preserve"> </w:t>
      </w:r>
    </w:p>
    <w:p w14:paraId="063AC155" w14:textId="77777777" w:rsidR="00550C3F" w:rsidRDefault="00550C3F" w:rsidP="00550C3F">
      <w:pPr>
        <w:pStyle w:val="ListParagraph"/>
        <w:numPr>
          <w:ilvl w:val="0"/>
          <w:numId w:val="6"/>
        </w:numPr>
        <w:spacing w:line="256" w:lineRule="auto"/>
      </w:pPr>
      <w:r>
        <w:t>Stressed out or have mental health concerns?</w:t>
      </w:r>
    </w:p>
    <w:p w14:paraId="17179B5E" w14:textId="77777777" w:rsidR="00550C3F" w:rsidRDefault="00550C3F" w:rsidP="00550C3F">
      <w:pPr>
        <w:pStyle w:val="ListParagraph"/>
        <w:numPr>
          <w:ilvl w:val="1"/>
          <w:numId w:val="6"/>
        </w:numPr>
        <w:spacing w:line="256" w:lineRule="auto"/>
      </w:pPr>
      <w:r>
        <w:t xml:space="preserve">Student Counseling Services – crisis appointments available – 509-963-1391 – </w:t>
      </w:r>
      <w:hyperlink r:id="rId10" w:tgtFrame="_blank" w:tooltip="Original URL: http://www.cwu.edu/medical-counseling/counseling-clinic. Click or tap if you trust this link." w:history="1">
        <w:r>
          <w:rPr>
            <w:rStyle w:val="Hyperlink"/>
          </w:rPr>
          <w:t>www.cwu.edu/medical-counseling/counseling-clinic</w:t>
        </w:r>
      </w:hyperlink>
    </w:p>
    <w:p w14:paraId="7FB0358B" w14:textId="77777777" w:rsidR="00550C3F" w:rsidRDefault="00550C3F" w:rsidP="00550C3F">
      <w:pPr>
        <w:pStyle w:val="ListParagraph"/>
        <w:numPr>
          <w:ilvl w:val="1"/>
          <w:numId w:val="6"/>
        </w:numPr>
        <w:spacing w:line="256" w:lineRule="auto"/>
      </w:pPr>
      <w:r>
        <w:t xml:space="preserve">Mental health crisis </w:t>
      </w:r>
      <w:proofErr w:type="gramStart"/>
      <w:r>
        <w:t>support</w:t>
      </w:r>
      <w:proofErr w:type="gramEnd"/>
      <w:r>
        <w:t xml:space="preserve"> outside of normal business hours – 1-800-273-8255; Text HOME to 741741 </w:t>
      </w:r>
    </w:p>
    <w:p w14:paraId="260311E1" w14:textId="77777777" w:rsidR="00550C3F" w:rsidRDefault="00550C3F" w:rsidP="00550C3F">
      <w:pPr>
        <w:pStyle w:val="ListParagraph"/>
        <w:numPr>
          <w:ilvl w:val="1"/>
          <w:numId w:val="6"/>
        </w:numPr>
        <w:spacing w:line="256" w:lineRule="auto"/>
      </w:pPr>
      <w:r>
        <w:t xml:space="preserve">Wellness Center – confidential sexual assault and other victim advocacy – 509-963-3213 – </w:t>
      </w:r>
      <w:hyperlink r:id="rId11" w:tgtFrame="_blank" w:tooltip="Original URL: http://www.cwu.edu/wecare. Click or tap if you trust this link." w:history="1">
        <w:r>
          <w:rPr>
            <w:rStyle w:val="Hyperlink"/>
          </w:rPr>
          <w:t>www.cwu.edu/wecare</w:t>
        </w:r>
      </w:hyperlink>
      <w:r>
        <w:t xml:space="preserve">, </w:t>
      </w:r>
      <w:hyperlink r:id="rId12" w:tgtFrame="_blank" w:tooltip="Original URL: http://www.cwu.edu/path. Click or tap if you trust this link." w:history="1">
        <w:r>
          <w:rPr>
            <w:rStyle w:val="Hyperlink"/>
          </w:rPr>
          <w:t>www.cwu.edu/path</w:t>
        </w:r>
      </w:hyperlink>
    </w:p>
    <w:p w14:paraId="5ED1AC4B" w14:textId="77777777" w:rsidR="00550C3F" w:rsidRDefault="00550C3F" w:rsidP="00550C3F"/>
    <w:p w14:paraId="2CCBA4FF" w14:textId="77777777" w:rsidR="00550C3F" w:rsidRDefault="00550C3F" w:rsidP="00550C3F">
      <w:r>
        <w:t>And I’ll stress again, if you’re having problems, I’m always there to talk.  If nothing else, I can probably get you the name of the right person to talk to.</w:t>
      </w:r>
    </w:p>
    <w:p w14:paraId="1F901A18" w14:textId="77777777" w:rsidR="00550C3F" w:rsidRPr="00013992" w:rsidRDefault="00550C3F" w:rsidP="00F07166"/>
    <w:sectPr w:rsidR="00550C3F" w:rsidRPr="00013992" w:rsidSect="00CC41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4F6"/>
    <w:multiLevelType w:val="hybridMultilevel"/>
    <w:tmpl w:val="E34EB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F1388"/>
    <w:multiLevelType w:val="hybridMultilevel"/>
    <w:tmpl w:val="0EE4B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BC6584"/>
    <w:multiLevelType w:val="hybridMultilevel"/>
    <w:tmpl w:val="8264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260630"/>
    <w:multiLevelType w:val="hybridMultilevel"/>
    <w:tmpl w:val="FDA8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7045A"/>
    <w:multiLevelType w:val="hybridMultilevel"/>
    <w:tmpl w:val="1FD0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D1682"/>
    <w:multiLevelType w:val="hybridMultilevel"/>
    <w:tmpl w:val="7AB2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1954118">
    <w:abstractNumId w:val="2"/>
  </w:num>
  <w:num w:numId="2" w16cid:durableId="1286886802">
    <w:abstractNumId w:val="4"/>
  </w:num>
  <w:num w:numId="3" w16cid:durableId="137647557">
    <w:abstractNumId w:val="0"/>
  </w:num>
  <w:num w:numId="4" w16cid:durableId="2091000475">
    <w:abstractNumId w:val="5"/>
  </w:num>
  <w:num w:numId="5" w16cid:durableId="1888028806">
    <w:abstractNumId w:val="3"/>
  </w:num>
  <w:num w:numId="6" w16cid:durableId="174425808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149"/>
    <w:rsid w:val="00013992"/>
    <w:rsid w:val="00294EB6"/>
    <w:rsid w:val="003604B1"/>
    <w:rsid w:val="003A1AC1"/>
    <w:rsid w:val="00415D8D"/>
    <w:rsid w:val="00496FB0"/>
    <w:rsid w:val="00550C3F"/>
    <w:rsid w:val="005B298E"/>
    <w:rsid w:val="005E24A0"/>
    <w:rsid w:val="005E2A71"/>
    <w:rsid w:val="00617EF1"/>
    <w:rsid w:val="008866F5"/>
    <w:rsid w:val="00B0708E"/>
    <w:rsid w:val="00C10B73"/>
    <w:rsid w:val="00CC4149"/>
    <w:rsid w:val="00D64EAA"/>
    <w:rsid w:val="00F07166"/>
    <w:rsid w:val="00FC1FEC"/>
    <w:rsid w:val="00FD5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F899"/>
  <w15:chartTrackingRefBased/>
  <w15:docId w15:val="{BE571DCA-05AC-4AF7-9FC5-41607E9E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07166"/>
    <w:pPr>
      <w:keepNext/>
      <w:keepLines/>
      <w:spacing w:before="200" w:after="0" w:line="276" w:lineRule="auto"/>
      <w:outlineLvl w:val="2"/>
    </w:pPr>
    <w:rPr>
      <w:rFonts w:asciiTheme="majorHAnsi" w:eastAsiaTheme="majorEastAsia" w:hAnsiTheme="majorHAnsi" w:cstheme="majorBidi"/>
      <w:b/>
      <w:b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149"/>
    <w:pPr>
      <w:ind w:left="720"/>
      <w:contextualSpacing/>
    </w:pPr>
  </w:style>
  <w:style w:type="table" w:styleId="TableGrid">
    <w:name w:val="Table Grid"/>
    <w:basedOn w:val="TableNormal"/>
    <w:uiPriority w:val="39"/>
    <w:rsid w:val="00CC4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4EB6"/>
    <w:rPr>
      <w:color w:val="0563C1" w:themeColor="hyperlink"/>
      <w:u w:val="single"/>
    </w:rPr>
  </w:style>
  <w:style w:type="character" w:styleId="UnresolvedMention">
    <w:name w:val="Unresolved Mention"/>
    <w:basedOn w:val="DefaultParagraphFont"/>
    <w:uiPriority w:val="99"/>
    <w:semiHidden/>
    <w:unhideWhenUsed/>
    <w:rsid w:val="00294EB6"/>
    <w:rPr>
      <w:color w:val="605E5C"/>
      <w:shd w:val="clear" w:color="auto" w:fill="E1DFDD"/>
    </w:rPr>
  </w:style>
  <w:style w:type="paragraph" w:customStyle="1" w:styleId="Default">
    <w:name w:val="Default"/>
    <w:rsid w:val="00013992"/>
    <w:pPr>
      <w:autoSpaceDE w:val="0"/>
      <w:autoSpaceDN w:val="0"/>
      <w:adjustRightInd w:val="0"/>
      <w:spacing w:after="0" w:line="240" w:lineRule="auto"/>
    </w:pPr>
    <w:rPr>
      <w:rFonts w:ascii="Calibri" w:hAnsi="Calibri" w:cs="Calibri"/>
      <w:color w:val="000000"/>
    </w:rPr>
  </w:style>
  <w:style w:type="character" w:customStyle="1" w:styleId="Heading3Char">
    <w:name w:val="Heading 3 Char"/>
    <w:basedOn w:val="DefaultParagraphFont"/>
    <w:link w:val="Heading3"/>
    <w:uiPriority w:val="9"/>
    <w:semiHidden/>
    <w:rsid w:val="00F07166"/>
    <w:rPr>
      <w:rFonts w:asciiTheme="majorHAnsi" w:eastAsiaTheme="majorEastAsia" w:hAnsiTheme="majorHAnsi" w:cstheme="majorBidi"/>
      <w:b/>
      <w:bCs/>
      <w:color w:val="4472C4" w:themeColor="accent1"/>
      <w:sz w:val="22"/>
      <w:szCs w:val="22"/>
    </w:rPr>
  </w:style>
  <w:style w:type="character" w:styleId="Strong">
    <w:name w:val="Strong"/>
    <w:basedOn w:val="DefaultParagraphFont"/>
    <w:uiPriority w:val="22"/>
    <w:qFormat/>
    <w:rsid w:val="00F071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4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vfish.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phy.com/gifs/ifc-80s-bill-and-ted-excellet-l46CDHTqbmnGZyxKo" TargetMode="External"/><Relationship Id="rId12" Type="http://schemas.openxmlformats.org/officeDocument/2006/relationships/hyperlink" Target="https://nam10.safelinks.protection.outlook.com/?url=http%3A%2F%2Fwww.cwu.edu%2Fpath&amp;data=05%7C01%7CRobert.Hickey%40cwu.edu%7Cb79f5a5ae0fd43f4249608da98247507%7Cf891d6c191d6444ba700d371910716c7%7C0%7C0%7C637989579625583451%7CUnknown%7CTWFpbGZsb3d8eyJWIjoiMC4wLjAwMDAiLCJQIjoiV2luMzIiLCJBTiI6Ik1haWwiLCJXVCI6Mn0%3D%7C3000%7C%7C%7C&amp;sdata=Z3JzQHelB0wAQToZXsYvjtTA4n4%2B1Ig%2B0M39fUtmK3Y%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leg.wa.gov/wac/default.aspx?cite=106-125" TargetMode="External"/><Relationship Id="rId11" Type="http://schemas.openxmlformats.org/officeDocument/2006/relationships/hyperlink" Target="https://nam10.safelinks.protection.outlook.com/?url=http%3A%2F%2Fwww.cwu.edu%2Fwecare&amp;data=05%7C01%7CRobert.Hickey%40cwu.edu%7Cb79f5a5ae0fd43f4249608da98247507%7Cf891d6c191d6444ba700d371910716c7%7C0%7C0%7C637989579625583451%7CUnknown%7CTWFpbGZsb3d8eyJWIjoiMC4wLjAwMDAiLCJQIjoiV2luMzIiLCJBTiI6Ik1haWwiLCJXVCI6Mn0%3D%7C3000%7C%7C%7C&amp;sdata=yLIosk1fyrfoyPBBK9XteDgaxhg24CHBi34HdvhRx14%3D&amp;reserved=0" TargetMode="External"/><Relationship Id="rId5" Type="http://schemas.openxmlformats.org/officeDocument/2006/relationships/hyperlink" Target="https://apps.leg.wa.gov/WAC/default.aspx?cite=106-125-020" TargetMode="External"/><Relationship Id="rId10" Type="http://schemas.openxmlformats.org/officeDocument/2006/relationships/hyperlink" Target="https://nam10.safelinks.protection.outlook.com/?url=http%3A%2F%2Fwww.cwu.edu%2Fmedical-counseling%2Fcounseling-clinic&amp;data=05%7C01%7CRobert.Hickey%40cwu.edu%7Cb79f5a5ae0fd43f4249608da98247507%7Cf891d6c191d6444ba700d371910716c7%7C0%7C0%7C637989579625427214%7CUnknown%7CTWFpbGZsb3d8eyJWIjoiMC4wLjAwMDAiLCJQIjoiV2luMzIiLCJBTiI6Ik1haWwiLCJXVCI6Mn0%3D%7C3000%7C%7C%7C&amp;sdata=CmeDka1HoMnlwuAVOoeGyUTUaNKg2okbWBYSH%2FA6u4w%3D&amp;reserved=0" TargetMode="External"/><Relationship Id="rId4" Type="http://schemas.openxmlformats.org/officeDocument/2006/relationships/webSettings" Target="webSettings.xml"/><Relationship Id="rId9" Type="http://schemas.openxmlformats.org/officeDocument/2006/relationships/hyperlink" Target="https://apoyo-communit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Hickey</dc:creator>
  <cp:keywords/>
  <dc:description/>
  <cp:lastModifiedBy>Bob Hickey</cp:lastModifiedBy>
  <cp:revision>5</cp:revision>
  <dcterms:created xsi:type="dcterms:W3CDTF">2021-09-14T22:34:00Z</dcterms:created>
  <dcterms:modified xsi:type="dcterms:W3CDTF">2022-09-19T21:41:00Z</dcterms:modified>
</cp:coreProperties>
</file>